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9E1" w:rsidRDefault="00FA0622" w:rsidP="004D7B3B">
      <w:pPr>
        <w:pStyle w:val="Body"/>
        <w:spacing w:line="480" w:lineRule="auto"/>
        <w:jc w:val="center"/>
        <w:rPr>
          <w:b/>
          <w:bCs/>
        </w:rPr>
      </w:pPr>
      <w:r>
        <w:rPr>
          <w:b/>
          <w:bCs/>
        </w:rPr>
        <w:t>Bakersfield College</w:t>
      </w:r>
    </w:p>
    <w:p w:rsidR="004119E1" w:rsidRDefault="00FA0622" w:rsidP="004D7B3B">
      <w:pPr>
        <w:pStyle w:val="Body"/>
        <w:spacing w:line="480" w:lineRule="auto"/>
        <w:jc w:val="center"/>
        <w:rPr>
          <w:b/>
          <w:bCs/>
        </w:rPr>
      </w:pPr>
      <w:r>
        <w:rPr>
          <w:b/>
          <w:bCs/>
        </w:rPr>
        <w:t>CTE Program Application</w:t>
      </w:r>
    </w:p>
    <w:p w:rsidR="004119E1" w:rsidRDefault="00FA0622" w:rsidP="004D7B3B">
      <w:pPr>
        <w:pStyle w:val="Body"/>
        <w:spacing w:line="480" w:lineRule="auto"/>
        <w:jc w:val="center"/>
        <w:rPr>
          <w:b/>
          <w:bCs/>
        </w:rPr>
      </w:pPr>
      <w:r>
        <w:rPr>
          <w:b/>
          <w:bCs/>
        </w:rPr>
        <w:t>ASL/English Interpreter Training Program</w:t>
      </w:r>
    </w:p>
    <w:p w:rsidR="004119E1" w:rsidRDefault="004119E1" w:rsidP="004D7B3B">
      <w:pPr>
        <w:pStyle w:val="Body"/>
        <w:spacing w:line="480" w:lineRule="auto"/>
        <w:jc w:val="center"/>
      </w:pPr>
    </w:p>
    <w:p w:rsidR="004119E1" w:rsidRDefault="00FA0622" w:rsidP="004D7B3B">
      <w:pPr>
        <w:pStyle w:val="Body"/>
        <w:spacing w:after="120" w:line="480" w:lineRule="auto"/>
        <w:rPr>
          <w:b/>
          <w:bCs/>
          <w:sz w:val="24"/>
          <w:szCs w:val="24"/>
        </w:rPr>
      </w:pPr>
      <w:r>
        <w:rPr>
          <w:b/>
          <w:bCs/>
          <w:sz w:val="24"/>
          <w:szCs w:val="24"/>
        </w:rPr>
        <w:t>Labor Market Information</w:t>
      </w:r>
    </w:p>
    <w:p w:rsidR="004119E1" w:rsidRDefault="00FA0622" w:rsidP="004D7B3B">
      <w:pPr>
        <w:pStyle w:val="Body"/>
        <w:spacing w:after="120" w:line="480" w:lineRule="auto"/>
        <w:rPr>
          <w:sz w:val="24"/>
          <w:szCs w:val="24"/>
        </w:rPr>
      </w:pPr>
      <w:r>
        <w:rPr>
          <w:sz w:val="24"/>
          <w:szCs w:val="24"/>
        </w:rPr>
        <w:t>In a separate attachment, provide current Labor Market Information showing that jobs are available for program completers within the local service area.  Statewide or national LMI may be included as supplementary support but evidence of need in the specific college service area or region is also necessary.</w:t>
      </w:r>
    </w:p>
    <w:p w:rsidR="004119E1" w:rsidRDefault="00FA0622" w:rsidP="004D7B3B">
      <w:pPr>
        <w:pStyle w:val="Body"/>
        <w:spacing w:after="120" w:line="480" w:lineRule="auto"/>
        <w:ind w:firstLine="720"/>
        <w:rPr>
          <w:sz w:val="24"/>
          <w:szCs w:val="24"/>
        </w:rPr>
      </w:pPr>
      <w:r>
        <w:rPr>
          <w:sz w:val="24"/>
          <w:szCs w:val="24"/>
        </w:rPr>
        <w:t>The outlook for employment in the field of sign language interpreting is quite good, with a deficit of skilled workers at the local, state, and national levels. Both the Registry of Interpreters for the Deaf and the National Association of the Deaf have declared “national states of emergency” regarding the paucity of trained, certified ASL interpreters.</w:t>
      </w:r>
    </w:p>
    <w:p w:rsidR="004119E1" w:rsidRDefault="00FA0622" w:rsidP="004D7B3B">
      <w:pPr>
        <w:pStyle w:val="Body"/>
        <w:spacing w:after="120" w:line="480" w:lineRule="auto"/>
        <w:ind w:firstLine="720"/>
        <w:rPr>
          <w:sz w:val="24"/>
          <w:szCs w:val="24"/>
        </w:rPr>
      </w:pPr>
      <w:r>
        <w:rPr>
          <w:sz w:val="24"/>
          <w:szCs w:val="24"/>
        </w:rPr>
        <w:t>Based on data presented in December 2017, there is an unmet need for interpreters and translators in the Los Angeles County region, the closes major region to Kern County. Reasons include:</w:t>
      </w:r>
    </w:p>
    <w:p w:rsidR="004119E1" w:rsidRDefault="00FA0622" w:rsidP="004D7B3B">
      <w:pPr>
        <w:pStyle w:val="Body"/>
        <w:numPr>
          <w:ilvl w:val="0"/>
          <w:numId w:val="2"/>
        </w:numPr>
        <w:spacing w:after="120" w:line="480" w:lineRule="auto"/>
        <w:rPr>
          <w:sz w:val="24"/>
          <w:szCs w:val="24"/>
        </w:rPr>
      </w:pPr>
      <w:r>
        <w:rPr>
          <w:sz w:val="24"/>
          <w:szCs w:val="24"/>
        </w:rPr>
        <w:t>Through 2021 there are expected to be 409 annual openings.</w:t>
      </w:r>
    </w:p>
    <w:p w:rsidR="004119E1" w:rsidRDefault="00FA0622" w:rsidP="004D7B3B">
      <w:pPr>
        <w:pStyle w:val="Body"/>
        <w:numPr>
          <w:ilvl w:val="0"/>
          <w:numId w:val="2"/>
        </w:numPr>
        <w:spacing w:after="120" w:line="480" w:lineRule="auto"/>
        <w:rPr>
          <w:sz w:val="24"/>
          <w:szCs w:val="24"/>
        </w:rPr>
      </w:pPr>
      <w:r>
        <w:rPr>
          <w:sz w:val="24"/>
          <w:szCs w:val="24"/>
        </w:rPr>
        <w:t>About 36% of the workforce in this occupation has completed some community college education as their highest level of education.</w:t>
      </w:r>
    </w:p>
    <w:p w:rsidR="004119E1" w:rsidRDefault="00FA0622" w:rsidP="004D7B3B">
      <w:pPr>
        <w:pStyle w:val="Body"/>
        <w:numPr>
          <w:ilvl w:val="0"/>
          <w:numId w:val="2"/>
        </w:numPr>
        <w:spacing w:after="120" w:line="480" w:lineRule="auto"/>
        <w:rPr>
          <w:sz w:val="24"/>
          <w:szCs w:val="24"/>
        </w:rPr>
      </w:pPr>
      <w:r>
        <w:rPr>
          <w:sz w:val="24"/>
          <w:szCs w:val="24"/>
        </w:rPr>
        <w:lastRenderedPageBreak/>
        <w:t xml:space="preserve">Only about 47 associate degrees and certificates in sign language and interpreting are awarded by regional community colleges annually. In LA and Orange counties COE reports that there are eight interpreting training programs; however, those not reported include El Camino College, Cypress College, and Golden West College. In Kern County, there is only one ASL interpreting program, ours, and it is just starting. </w:t>
      </w:r>
    </w:p>
    <w:p w:rsidR="004119E1" w:rsidRDefault="00FA0622" w:rsidP="004D7B3B">
      <w:pPr>
        <w:pStyle w:val="Body"/>
        <w:spacing w:after="120" w:line="480" w:lineRule="auto"/>
        <w:ind w:firstLine="720"/>
        <w:rPr>
          <w:sz w:val="24"/>
          <w:szCs w:val="24"/>
        </w:rPr>
      </w:pPr>
      <w:r>
        <w:rPr>
          <w:sz w:val="24"/>
          <w:szCs w:val="24"/>
        </w:rPr>
        <w:t>According to national Bureau of Labor statistics, in May 2017, the number of employed interpreters was 53,150, earning a mean hourly wage of $24.90 and a mean annual wage of $51,790. Freelance community interpreters with RID certification typically earn $50 per hour. These statistics closely mirror those offered by the COE:</w:t>
      </w:r>
    </w:p>
    <w:p w:rsidR="004119E1" w:rsidRDefault="00FA0622" w:rsidP="004D7B3B">
      <w:pPr>
        <w:pStyle w:val="Body"/>
        <w:spacing w:after="120" w:line="480" w:lineRule="auto"/>
        <w:ind w:firstLine="720"/>
        <w:rPr>
          <w:sz w:val="24"/>
          <w:szCs w:val="24"/>
        </w:rPr>
      </w:pPr>
      <w:r>
        <w:rPr>
          <w:sz w:val="24"/>
          <w:szCs w:val="24"/>
        </w:rPr>
        <w:t xml:space="preserve">“In Los Angeles County, the number jobs for interpreters and translators are forecasted to increase by 16% over the next five years. More than 400 job opportunities will be available annually for this occupation through 2021 due to new job growth and replacement need (e.g., retirements). Exhibit 2 contains detailed employment projections data for this occupation.” </w:t>
      </w:r>
      <w:hyperlink r:id="rId8" w:anchor="idDetailPanel" w:history="1">
        <w:r>
          <w:rPr>
            <w:rStyle w:val="Hyperlink0"/>
          </w:rPr>
          <w:t>http://www.coeccc.net/Search.aspx#idDetailPanel</w:t>
        </w:r>
      </w:hyperlink>
      <w:r>
        <w:rPr>
          <w:sz w:val="24"/>
          <w:szCs w:val="24"/>
        </w:rPr>
        <w:t>. Of 644 posted job openings in 2016, 515 required only vocational training, and 11 required an AA degree. Only 117 openings required a BA or higher. According to the COE, 66% of program completers are employed within six months.</w:t>
      </w:r>
    </w:p>
    <w:p w:rsidR="004D7B3B" w:rsidRDefault="004D7B3B" w:rsidP="004D7B3B">
      <w:pPr>
        <w:pStyle w:val="Body"/>
        <w:spacing w:after="120" w:line="480" w:lineRule="auto"/>
        <w:ind w:firstLine="720"/>
        <w:rPr>
          <w:sz w:val="24"/>
          <w:szCs w:val="24"/>
        </w:rPr>
      </w:pPr>
    </w:p>
    <w:p w:rsidR="004D7B3B" w:rsidRDefault="004D7B3B" w:rsidP="004D7B3B">
      <w:pPr>
        <w:pStyle w:val="Body"/>
        <w:spacing w:after="120" w:line="480" w:lineRule="auto"/>
        <w:ind w:firstLine="720"/>
        <w:rPr>
          <w:sz w:val="24"/>
          <w:szCs w:val="24"/>
        </w:rPr>
      </w:pPr>
    </w:p>
    <w:p w:rsidR="004D7B3B" w:rsidRDefault="004D7B3B" w:rsidP="004D7B3B">
      <w:pPr>
        <w:pStyle w:val="Body"/>
        <w:spacing w:after="120" w:line="480" w:lineRule="auto"/>
        <w:ind w:firstLine="720"/>
        <w:rPr>
          <w:sz w:val="24"/>
          <w:szCs w:val="24"/>
        </w:rPr>
      </w:pPr>
      <w:bookmarkStart w:id="0" w:name="_GoBack"/>
      <w:bookmarkEnd w:id="0"/>
    </w:p>
    <w:tbl>
      <w:tblPr>
        <w:tblW w:w="819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85"/>
        <w:gridCol w:w="1530"/>
        <w:gridCol w:w="1537"/>
        <w:gridCol w:w="1564"/>
        <w:gridCol w:w="1679"/>
      </w:tblGrid>
      <w:tr w:rsidR="004119E1">
        <w:trPr>
          <w:trHeight w:val="605"/>
        </w:trPr>
        <w:tc>
          <w:tcPr>
            <w:tcW w:w="18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Fonts w:ascii="Times New Roman" w:hAnsi="Times New Roman"/>
                <w:b/>
                <w:bCs/>
                <w:sz w:val="24"/>
                <w:szCs w:val="24"/>
              </w:rPr>
              <w:lastRenderedPageBreak/>
              <w:t xml:space="preserve">Employment </w:t>
            </w:r>
            <w:hyperlink r:id="rId9" w:anchor="%25281%2529" w:history="1">
              <w:r>
                <w:rPr>
                  <w:rStyle w:val="Hyperlink1"/>
                  <w:rFonts w:ascii="Times New Roman" w:hAnsi="Times New Roman"/>
                  <w:b/>
                  <w:bCs/>
                  <w:sz w:val="24"/>
                  <w:szCs w:val="24"/>
                </w:rPr>
                <w:t>(1)</w:t>
              </w:r>
            </w:hyperlink>
            <w:r>
              <w:rPr>
                <w:rStyle w:val="None"/>
                <w:rFonts w:ascii="Times New Roman" w:hAnsi="Times New Roman"/>
                <w:b/>
                <w:bCs/>
                <w:sz w:val="24"/>
                <w:szCs w:val="24"/>
              </w:rPr>
              <w:t xml:space="preserve">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b/>
                <w:bCs/>
                <w:sz w:val="24"/>
                <w:szCs w:val="24"/>
              </w:rPr>
              <w:t>Employment</w:t>
            </w:r>
            <w:r>
              <w:rPr>
                <w:rStyle w:val="None"/>
                <w:rFonts w:ascii="Arial Unicode MS" w:eastAsia="Arial Unicode MS" w:hAnsi="Arial Unicode MS" w:cs="Arial Unicode MS"/>
                <w:sz w:val="24"/>
                <w:szCs w:val="24"/>
              </w:rPr>
              <w:br/>
            </w:r>
            <w:r>
              <w:rPr>
                <w:rStyle w:val="None"/>
                <w:rFonts w:ascii="Times New Roman" w:hAnsi="Times New Roman"/>
                <w:b/>
                <w:bCs/>
                <w:sz w:val="24"/>
                <w:szCs w:val="24"/>
              </w:rPr>
              <w:t xml:space="preserve">RSE </w:t>
            </w:r>
            <w:hyperlink r:id="rId10" w:anchor="%25283%2529" w:history="1">
              <w:r>
                <w:rPr>
                  <w:rStyle w:val="Hyperlink1"/>
                  <w:rFonts w:ascii="Times New Roman" w:hAnsi="Times New Roman"/>
                  <w:b/>
                  <w:bCs/>
                  <w:sz w:val="24"/>
                  <w:szCs w:val="24"/>
                </w:rPr>
                <w:t>(3)</w:t>
              </w:r>
            </w:hyperlink>
            <w:r>
              <w:rPr>
                <w:rStyle w:val="None"/>
                <w:rFonts w:ascii="Times New Roman" w:hAnsi="Times New Roman"/>
                <w:b/>
                <w:bCs/>
                <w:sz w:val="24"/>
                <w:szCs w:val="24"/>
              </w:rPr>
              <w:t xml:space="preserve"> </w:t>
            </w:r>
          </w:p>
        </w:tc>
        <w:tc>
          <w:tcPr>
            <w:tcW w:w="15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b/>
                <w:bCs/>
                <w:sz w:val="24"/>
                <w:szCs w:val="24"/>
              </w:rPr>
              <w:t>Mean hourly</w:t>
            </w:r>
            <w:r>
              <w:rPr>
                <w:rStyle w:val="None"/>
                <w:rFonts w:ascii="Arial Unicode MS" w:eastAsia="Arial Unicode MS" w:hAnsi="Arial Unicode MS" w:cs="Arial Unicode MS"/>
                <w:sz w:val="24"/>
                <w:szCs w:val="24"/>
              </w:rPr>
              <w:br/>
            </w:r>
            <w:r>
              <w:rPr>
                <w:rStyle w:val="None"/>
                <w:rFonts w:ascii="Times New Roman" w:hAnsi="Times New Roman"/>
                <w:b/>
                <w:bCs/>
                <w:sz w:val="24"/>
                <w:szCs w:val="24"/>
              </w:rPr>
              <w:t>wage</w:t>
            </w:r>
          </w:p>
        </w:tc>
        <w:tc>
          <w:tcPr>
            <w:tcW w:w="15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b/>
                <w:bCs/>
                <w:sz w:val="24"/>
                <w:szCs w:val="24"/>
              </w:rPr>
              <w:t>Mean annual</w:t>
            </w:r>
            <w:r>
              <w:rPr>
                <w:rStyle w:val="None"/>
                <w:rFonts w:ascii="Arial Unicode MS" w:eastAsia="Arial Unicode MS" w:hAnsi="Arial Unicode MS" w:cs="Arial Unicode MS"/>
                <w:sz w:val="24"/>
                <w:szCs w:val="24"/>
              </w:rPr>
              <w:br/>
            </w:r>
            <w:r>
              <w:rPr>
                <w:rStyle w:val="None"/>
                <w:rFonts w:ascii="Times New Roman" w:hAnsi="Times New Roman"/>
                <w:b/>
                <w:bCs/>
                <w:sz w:val="24"/>
                <w:szCs w:val="24"/>
              </w:rPr>
              <w:t xml:space="preserve">wage </w:t>
            </w:r>
            <w:hyperlink r:id="rId11" w:anchor="%25282%2529" w:history="1">
              <w:r>
                <w:rPr>
                  <w:rStyle w:val="Hyperlink1"/>
                  <w:rFonts w:ascii="Times New Roman" w:hAnsi="Times New Roman"/>
                  <w:b/>
                  <w:bCs/>
                  <w:sz w:val="24"/>
                  <w:szCs w:val="24"/>
                </w:rPr>
                <w:t>(2)</w:t>
              </w:r>
            </w:hyperlink>
            <w:r>
              <w:rPr>
                <w:rStyle w:val="None"/>
                <w:rFonts w:ascii="Times New Roman" w:hAnsi="Times New Roman"/>
                <w:b/>
                <w:bCs/>
                <w:sz w:val="24"/>
                <w:szCs w:val="24"/>
              </w:rPr>
              <w:t xml:space="preserve"> </w:t>
            </w:r>
          </w:p>
        </w:tc>
        <w:tc>
          <w:tcPr>
            <w:tcW w:w="16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b/>
                <w:bCs/>
                <w:sz w:val="24"/>
                <w:szCs w:val="24"/>
              </w:rPr>
              <w:t xml:space="preserve">Wage RSE </w:t>
            </w:r>
            <w:hyperlink r:id="rId12" w:anchor="%25283%2529" w:history="1">
              <w:r>
                <w:rPr>
                  <w:rStyle w:val="Hyperlink1"/>
                  <w:rFonts w:ascii="Times New Roman" w:hAnsi="Times New Roman"/>
                  <w:b/>
                  <w:bCs/>
                  <w:sz w:val="24"/>
                  <w:szCs w:val="24"/>
                </w:rPr>
                <w:t>(3)</w:t>
              </w:r>
            </w:hyperlink>
            <w:r>
              <w:rPr>
                <w:rStyle w:val="None"/>
                <w:rFonts w:ascii="Times New Roman" w:hAnsi="Times New Roman"/>
                <w:b/>
                <w:bCs/>
                <w:sz w:val="24"/>
                <w:szCs w:val="24"/>
              </w:rPr>
              <w:t xml:space="preserve"> </w:t>
            </w:r>
          </w:p>
        </w:tc>
      </w:tr>
      <w:tr w:rsidR="004119E1">
        <w:trPr>
          <w:trHeight w:val="305"/>
        </w:trPr>
        <w:tc>
          <w:tcPr>
            <w:tcW w:w="18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sz w:val="24"/>
                <w:szCs w:val="24"/>
              </w:rPr>
              <w:t>53,150</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sz w:val="24"/>
                <w:szCs w:val="24"/>
              </w:rPr>
              <w:t>3.2 %</w:t>
            </w:r>
          </w:p>
        </w:tc>
        <w:tc>
          <w:tcPr>
            <w:tcW w:w="15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sz w:val="24"/>
                <w:szCs w:val="24"/>
              </w:rPr>
              <w:t>$24.90</w:t>
            </w:r>
          </w:p>
        </w:tc>
        <w:tc>
          <w:tcPr>
            <w:tcW w:w="15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sz w:val="24"/>
                <w:szCs w:val="24"/>
              </w:rPr>
              <w:t>$51,790</w:t>
            </w:r>
          </w:p>
        </w:tc>
        <w:tc>
          <w:tcPr>
            <w:tcW w:w="16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sz w:val="24"/>
                <w:szCs w:val="24"/>
              </w:rPr>
              <w:t>1.4 %</w:t>
            </w:r>
          </w:p>
        </w:tc>
      </w:tr>
    </w:tbl>
    <w:p w:rsidR="004119E1" w:rsidRDefault="004119E1" w:rsidP="004D7B3B">
      <w:pPr>
        <w:pStyle w:val="Body"/>
        <w:widowControl w:val="0"/>
        <w:spacing w:after="120" w:line="480" w:lineRule="auto"/>
        <w:rPr>
          <w:rStyle w:val="None"/>
          <w:sz w:val="24"/>
          <w:szCs w:val="24"/>
        </w:rPr>
      </w:pPr>
    </w:p>
    <w:p w:rsidR="004119E1" w:rsidRDefault="00FA0622" w:rsidP="004D7B3B">
      <w:pPr>
        <w:pStyle w:val="Body"/>
        <w:spacing w:before="100" w:after="100" w:line="480" w:lineRule="auto"/>
        <w:rPr>
          <w:rStyle w:val="None"/>
          <w:rFonts w:ascii="Times New Roman" w:eastAsia="Times New Roman" w:hAnsi="Times New Roman" w:cs="Times New Roman"/>
          <w:sz w:val="24"/>
          <w:szCs w:val="24"/>
        </w:rPr>
      </w:pPr>
      <w:r>
        <w:rPr>
          <w:rStyle w:val="None"/>
          <w:rFonts w:ascii="Times New Roman" w:hAnsi="Times New Roman"/>
          <w:sz w:val="24"/>
          <w:szCs w:val="24"/>
        </w:rPr>
        <w:t>Percentile wage estimates for this occupation:</w:t>
      </w:r>
    </w:p>
    <w:tbl>
      <w:tblPr>
        <w:tblW w:w="702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91"/>
        <w:gridCol w:w="990"/>
        <w:gridCol w:w="990"/>
        <w:gridCol w:w="1157"/>
        <w:gridCol w:w="990"/>
        <w:gridCol w:w="1005"/>
      </w:tblGrid>
      <w:tr w:rsidR="004119E1">
        <w:trPr>
          <w:trHeight w:val="605"/>
        </w:trPr>
        <w:tc>
          <w:tcPr>
            <w:tcW w:w="18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b/>
                <w:bCs/>
                <w:sz w:val="24"/>
                <w:szCs w:val="24"/>
              </w:rPr>
              <w:t xml:space="preserve">Percentile </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b/>
                <w:bCs/>
                <w:sz w:val="24"/>
                <w:szCs w:val="24"/>
              </w:rPr>
              <w:t xml:space="preserve">10% </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b/>
                <w:bCs/>
                <w:sz w:val="24"/>
                <w:szCs w:val="24"/>
              </w:rPr>
              <w:t xml:space="preserve">25% </w:t>
            </w:r>
          </w:p>
        </w:tc>
        <w:tc>
          <w:tcPr>
            <w:tcW w:w="11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b/>
                <w:bCs/>
                <w:sz w:val="24"/>
                <w:szCs w:val="24"/>
              </w:rPr>
              <w:t>50%</w:t>
            </w:r>
            <w:r>
              <w:rPr>
                <w:rStyle w:val="None"/>
                <w:rFonts w:ascii="Arial Unicode MS" w:eastAsia="Arial Unicode MS" w:hAnsi="Arial Unicode MS" w:cs="Arial Unicode MS"/>
                <w:sz w:val="24"/>
                <w:szCs w:val="24"/>
              </w:rPr>
              <w:br/>
            </w:r>
            <w:r>
              <w:rPr>
                <w:rStyle w:val="None"/>
                <w:rFonts w:ascii="Times New Roman" w:hAnsi="Times New Roman"/>
                <w:b/>
                <w:bCs/>
                <w:sz w:val="24"/>
                <w:szCs w:val="24"/>
              </w:rPr>
              <w:t xml:space="preserve">(Median) </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b/>
                <w:bCs/>
                <w:sz w:val="24"/>
                <w:szCs w:val="24"/>
              </w:rPr>
              <w:t xml:space="preserve">75% </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b/>
                <w:bCs/>
                <w:sz w:val="24"/>
                <w:szCs w:val="24"/>
              </w:rPr>
              <w:t xml:space="preserve">90% </w:t>
            </w:r>
          </w:p>
        </w:tc>
      </w:tr>
      <w:tr w:rsidR="004119E1">
        <w:trPr>
          <w:trHeight w:val="305"/>
        </w:trPr>
        <w:tc>
          <w:tcPr>
            <w:tcW w:w="18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sz w:val="24"/>
                <w:szCs w:val="24"/>
              </w:rPr>
              <w:t xml:space="preserve">Hourly Wage </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sz w:val="24"/>
                <w:szCs w:val="24"/>
              </w:rPr>
              <w:t>$12.32</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sz w:val="24"/>
                <w:szCs w:val="24"/>
              </w:rPr>
              <w:t>$16.65</w:t>
            </w:r>
          </w:p>
        </w:tc>
        <w:tc>
          <w:tcPr>
            <w:tcW w:w="11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sz w:val="24"/>
                <w:szCs w:val="24"/>
              </w:rPr>
              <w:t>$22.69</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sz w:val="24"/>
                <w:szCs w:val="24"/>
              </w:rPr>
              <w:t>$30.38</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sz w:val="24"/>
                <w:szCs w:val="24"/>
              </w:rPr>
              <w:t>$39.56</w:t>
            </w:r>
          </w:p>
        </w:tc>
      </w:tr>
      <w:tr w:rsidR="004119E1">
        <w:trPr>
          <w:trHeight w:val="305"/>
        </w:trPr>
        <w:tc>
          <w:tcPr>
            <w:tcW w:w="18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sz w:val="24"/>
                <w:szCs w:val="24"/>
              </w:rPr>
              <w:t xml:space="preserve">Annual Wage </w:t>
            </w:r>
            <w:hyperlink r:id="rId13" w:anchor="%25282%2529" w:history="1">
              <w:r>
                <w:rPr>
                  <w:rStyle w:val="Hyperlink1"/>
                  <w:rFonts w:ascii="Times New Roman" w:hAnsi="Times New Roman"/>
                  <w:sz w:val="24"/>
                  <w:szCs w:val="24"/>
                </w:rPr>
                <w:t>(2)</w:t>
              </w:r>
            </w:hyperlink>
            <w:r>
              <w:rPr>
                <w:rStyle w:val="None"/>
                <w:rFonts w:ascii="Times New Roman" w:hAnsi="Times New Roman"/>
                <w:sz w:val="24"/>
                <w:szCs w:val="24"/>
              </w:rPr>
              <w:t xml:space="preserve"> </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sz w:val="24"/>
                <w:szCs w:val="24"/>
              </w:rPr>
              <w:t>$25,620</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sz w:val="24"/>
                <w:szCs w:val="24"/>
              </w:rPr>
              <w:t>$34,620</w:t>
            </w:r>
          </w:p>
        </w:tc>
        <w:tc>
          <w:tcPr>
            <w:tcW w:w="11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sz w:val="24"/>
                <w:szCs w:val="24"/>
              </w:rPr>
              <w:t>$47,190</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sz w:val="24"/>
                <w:szCs w:val="24"/>
              </w:rPr>
              <w:t>$63,180</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sz w:val="24"/>
                <w:szCs w:val="24"/>
              </w:rPr>
              <w:t>$82,290</w:t>
            </w:r>
          </w:p>
        </w:tc>
      </w:tr>
    </w:tbl>
    <w:p w:rsidR="004119E1" w:rsidRDefault="004119E1" w:rsidP="004D7B3B">
      <w:pPr>
        <w:pStyle w:val="Body"/>
        <w:widowControl w:val="0"/>
        <w:spacing w:before="100" w:after="100" w:line="480" w:lineRule="auto"/>
        <w:rPr>
          <w:rStyle w:val="None"/>
          <w:rFonts w:ascii="Times New Roman" w:eastAsia="Times New Roman" w:hAnsi="Times New Roman" w:cs="Times New Roman"/>
          <w:sz w:val="24"/>
          <w:szCs w:val="24"/>
        </w:rPr>
      </w:pPr>
    </w:p>
    <w:p w:rsidR="004119E1" w:rsidRDefault="00FA0622" w:rsidP="004D7B3B">
      <w:pPr>
        <w:pStyle w:val="Body"/>
        <w:spacing w:after="120" w:line="480" w:lineRule="auto"/>
        <w:ind w:firstLine="720"/>
        <w:rPr>
          <w:rStyle w:val="None"/>
          <w:rFonts w:ascii="Times New Roman" w:eastAsia="Times New Roman" w:hAnsi="Times New Roman" w:cs="Times New Roman"/>
          <w:sz w:val="24"/>
          <w:szCs w:val="24"/>
        </w:rPr>
      </w:pPr>
      <w:r>
        <w:rPr>
          <w:rStyle w:val="None"/>
          <w:rFonts w:ascii="Times New Roman" w:hAnsi="Times New Roman"/>
          <w:sz w:val="24"/>
          <w:szCs w:val="24"/>
        </w:rPr>
        <w:t xml:space="preserve">In addition to community interpreter, potential areas of specialization include </w:t>
      </w:r>
    </w:p>
    <w:p w:rsidR="004119E1" w:rsidRDefault="00FA0622" w:rsidP="004D7B3B">
      <w:pPr>
        <w:pStyle w:val="Body"/>
        <w:numPr>
          <w:ilvl w:val="0"/>
          <w:numId w:val="2"/>
        </w:numPr>
        <w:spacing w:after="120" w:line="480" w:lineRule="auto"/>
        <w:rPr>
          <w:rStyle w:val="None"/>
          <w:rFonts w:ascii="Times New Roman" w:eastAsia="Times New Roman" w:hAnsi="Times New Roman" w:cs="Times New Roman"/>
          <w:sz w:val="24"/>
          <w:szCs w:val="24"/>
        </w:rPr>
      </w:pPr>
      <w:r>
        <w:rPr>
          <w:rStyle w:val="None"/>
          <w:rFonts w:ascii="Times New Roman" w:hAnsi="Times New Roman"/>
          <w:sz w:val="24"/>
          <w:szCs w:val="24"/>
        </w:rPr>
        <w:t>Court Interpreter</w:t>
      </w:r>
    </w:p>
    <w:p w:rsidR="004119E1" w:rsidRDefault="00FA0622" w:rsidP="004D7B3B">
      <w:pPr>
        <w:pStyle w:val="Body"/>
        <w:numPr>
          <w:ilvl w:val="0"/>
          <w:numId w:val="2"/>
        </w:numPr>
        <w:spacing w:after="120" w:line="480" w:lineRule="auto"/>
        <w:rPr>
          <w:rStyle w:val="None"/>
          <w:rFonts w:ascii="Times New Roman" w:eastAsia="Times New Roman" w:hAnsi="Times New Roman" w:cs="Times New Roman"/>
          <w:sz w:val="24"/>
          <w:szCs w:val="24"/>
        </w:rPr>
      </w:pPr>
      <w:r>
        <w:rPr>
          <w:rStyle w:val="None"/>
          <w:rFonts w:ascii="Times New Roman" w:hAnsi="Times New Roman"/>
          <w:sz w:val="24"/>
          <w:szCs w:val="24"/>
        </w:rPr>
        <w:t>Deaf Interpreter</w:t>
      </w:r>
    </w:p>
    <w:p w:rsidR="004119E1" w:rsidRDefault="00FA0622" w:rsidP="004D7B3B">
      <w:pPr>
        <w:pStyle w:val="Body"/>
        <w:numPr>
          <w:ilvl w:val="0"/>
          <w:numId w:val="2"/>
        </w:numPr>
        <w:spacing w:after="120" w:line="480" w:lineRule="auto"/>
        <w:rPr>
          <w:rStyle w:val="None"/>
          <w:rFonts w:ascii="Times New Roman" w:eastAsia="Times New Roman" w:hAnsi="Times New Roman" w:cs="Times New Roman"/>
          <w:sz w:val="24"/>
          <w:szCs w:val="24"/>
        </w:rPr>
      </w:pPr>
      <w:r>
        <w:rPr>
          <w:rStyle w:val="None"/>
          <w:rFonts w:ascii="Times New Roman" w:hAnsi="Times New Roman"/>
          <w:sz w:val="24"/>
          <w:szCs w:val="24"/>
        </w:rPr>
        <w:t>Educational Interpreter</w:t>
      </w:r>
    </w:p>
    <w:p w:rsidR="004119E1" w:rsidRDefault="00FA0622" w:rsidP="004D7B3B">
      <w:pPr>
        <w:pStyle w:val="Body"/>
        <w:numPr>
          <w:ilvl w:val="0"/>
          <w:numId w:val="2"/>
        </w:numPr>
        <w:spacing w:after="120" w:line="480" w:lineRule="auto"/>
        <w:rPr>
          <w:rStyle w:val="None"/>
          <w:rFonts w:ascii="Times New Roman" w:eastAsia="Times New Roman" w:hAnsi="Times New Roman" w:cs="Times New Roman"/>
          <w:sz w:val="24"/>
          <w:szCs w:val="24"/>
          <w:lang w:val="pt-PT"/>
        </w:rPr>
      </w:pPr>
      <w:r>
        <w:rPr>
          <w:rStyle w:val="None"/>
          <w:rFonts w:ascii="Times New Roman" w:hAnsi="Times New Roman"/>
          <w:sz w:val="24"/>
          <w:szCs w:val="24"/>
          <w:lang w:val="pt-PT"/>
        </w:rPr>
        <w:t>Medical Interpreter</w:t>
      </w:r>
    </w:p>
    <w:p w:rsidR="004119E1" w:rsidRDefault="00FA0622" w:rsidP="004D7B3B">
      <w:pPr>
        <w:pStyle w:val="Body"/>
        <w:numPr>
          <w:ilvl w:val="0"/>
          <w:numId w:val="2"/>
        </w:numPr>
        <w:spacing w:after="120" w:line="480" w:lineRule="auto"/>
        <w:rPr>
          <w:rStyle w:val="None"/>
          <w:rFonts w:ascii="Times New Roman" w:eastAsia="Times New Roman" w:hAnsi="Times New Roman" w:cs="Times New Roman"/>
          <w:sz w:val="24"/>
          <w:szCs w:val="24"/>
          <w:lang w:val="it-IT"/>
        </w:rPr>
      </w:pPr>
      <w:r>
        <w:rPr>
          <w:rStyle w:val="None"/>
          <w:rFonts w:ascii="Times New Roman" w:hAnsi="Times New Roman"/>
          <w:sz w:val="24"/>
          <w:szCs w:val="24"/>
          <w:lang w:val="it-IT"/>
        </w:rPr>
        <w:t>Paraprofessional Interpreter</w:t>
      </w:r>
    </w:p>
    <w:p w:rsidR="004119E1" w:rsidRDefault="00FA0622" w:rsidP="004D7B3B">
      <w:pPr>
        <w:pStyle w:val="Body"/>
        <w:spacing w:after="120" w:line="480" w:lineRule="auto"/>
        <w:ind w:firstLine="720"/>
        <w:rPr>
          <w:rStyle w:val="None"/>
          <w:rFonts w:ascii="Times New Roman" w:eastAsia="Times New Roman" w:hAnsi="Times New Roman" w:cs="Times New Roman"/>
          <w:sz w:val="24"/>
          <w:szCs w:val="24"/>
        </w:rPr>
      </w:pPr>
      <w:r>
        <w:rPr>
          <w:rStyle w:val="None"/>
          <w:rFonts w:ascii="Times New Roman" w:hAnsi="Times New Roman"/>
          <w:sz w:val="24"/>
          <w:szCs w:val="24"/>
        </w:rPr>
        <w:t>Other areas of employment include legal interpreting, performance interpreting, television interpreting, mental health interpreting, religious interpreting, and others.</w:t>
      </w:r>
    </w:p>
    <w:p w:rsidR="004119E1" w:rsidRDefault="00FA0622" w:rsidP="004D7B3B">
      <w:pPr>
        <w:pStyle w:val="Body"/>
        <w:spacing w:after="120" w:line="480" w:lineRule="auto"/>
        <w:ind w:firstLine="720"/>
      </w:pPr>
      <w:r>
        <w:lastRenderedPageBreak/>
        <w:t xml:space="preserve">Three of the five industries with the highest published employment and wages for this occupation are elementary education, secondary education, and “junior colleges.” These are among the areas of greatest need in Bakersfield College’s local service area. Each of these areas represent among the highest concentration of employees and one, postsecondary education, is noted as among the five top paying industries. </w:t>
      </w:r>
    </w:p>
    <w:p w:rsidR="004119E1" w:rsidRDefault="00FA0622" w:rsidP="004D7B3B">
      <w:pPr>
        <w:pStyle w:val="Body"/>
        <w:spacing w:after="120" w:line="480" w:lineRule="auto"/>
        <w:ind w:firstLine="720"/>
      </w:pPr>
      <w:r>
        <w:t xml:space="preserve">As can be  seen from the table below, California leads the five states with the highest rates of employment in the United States.  Only New York, fourth on the list, pays more than California. </w:t>
      </w:r>
    </w:p>
    <w:tbl>
      <w:tblPr>
        <w:tblW w:w="96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39"/>
        <w:gridCol w:w="1530"/>
        <w:gridCol w:w="1530"/>
        <w:gridCol w:w="1395"/>
        <w:gridCol w:w="1338"/>
        <w:gridCol w:w="1368"/>
      </w:tblGrid>
      <w:tr w:rsidR="004119E1">
        <w:trPr>
          <w:trHeight w:val="1205"/>
        </w:trPr>
        <w:tc>
          <w:tcPr>
            <w:tcW w:w="24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b/>
                <w:bCs/>
                <w:sz w:val="24"/>
                <w:szCs w:val="24"/>
              </w:rPr>
              <w:t xml:space="preserve">State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b/>
                <w:bCs/>
                <w:sz w:val="24"/>
                <w:szCs w:val="24"/>
              </w:rPr>
              <w:t xml:space="preserve">Employment </w:t>
            </w:r>
            <w:hyperlink r:id="rId14" w:anchor="%25281%2529" w:history="1">
              <w:r>
                <w:rPr>
                  <w:rStyle w:val="Hyperlink1"/>
                  <w:rFonts w:ascii="Times New Roman" w:hAnsi="Times New Roman"/>
                  <w:b/>
                  <w:bCs/>
                  <w:sz w:val="24"/>
                  <w:szCs w:val="24"/>
                </w:rPr>
                <w:t>(1)</w:t>
              </w:r>
            </w:hyperlink>
            <w:r>
              <w:rPr>
                <w:rStyle w:val="None"/>
                <w:rFonts w:ascii="Times New Roman" w:hAnsi="Times New Roman"/>
                <w:b/>
                <w:bCs/>
                <w:sz w:val="24"/>
                <w:szCs w:val="24"/>
              </w:rPr>
              <w:t xml:space="preserve">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b/>
                <w:bCs/>
                <w:sz w:val="24"/>
                <w:szCs w:val="24"/>
              </w:rPr>
              <w:t xml:space="preserve">Employment per thousand jobs </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b/>
                <w:bCs/>
                <w:sz w:val="24"/>
                <w:szCs w:val="24"/>
              </w:rPr>
              <w:t xml:space="preserve">Location quotient </w:t>
            </w:r>
            <w:hyperlink r:id="rId15" w:anchor="%25289%2529" w:history="1">
              <w:r>
                <w:rPr>
                  <w:rStyle w:val="Hyperlink1"/>
                  <w:rFonts w:ascii="Times New Roman" w:hAnsi="Times New Roman"/>
                  <w:b/>
                  <w:bCs/>
                  <w:sz w:val="24"/>
                  <w:szCs w:val="24"/>
                </w:rPr>
                <w:t>(9)</w:t>
              </w:r>
            </w:hyperlink>
            <w:r>
              <w:rPr>
                <w:rStyle w:val="None"/>
                <w:rFonts w:ascii="Times New Roman" w:hAnsi="Times New Roman"/>
                <w:b/>
                <w:bCs/>
                <w:sz w:val="24"/>
                <w:szCs w:val="24"/>
              </w:rPr>
              <w:t xml:space="preserve"> </w:t>
            </w: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b/>
                <w:bCs/>
                <w:sz w:val="24"/>
                <w:szCs w:val="24"/>
              </w:rPr>
              <w:t xml:space="preserve">Hourly mean wage </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b/>
                <w:bCs/>
                <w:sz w:val="24"/>
                <w:szCs w:val="24"/>
              </w:rPr>
              <w:t xml:space="preserve">Annual mean wage </w:t>
            </w:r>
            <w:hyperlink r:id="rId16" w:anchor="%25282%2529" w:history="1">
              <w:r>
                <w:rPr>
                  <w:rStyle w:val="Hyperlink1"/>
                  <w:rFonts w:ascii="Times New Roman" w:hAnsi="Times New Roman"/>
                  <w:b/>
                  <w:bCs/>
                  <w:sz w:val="24"/>
                  <w:szCs w:val="24"/>
                </w:rPr>
                <w:t>(2)</w:t>
              </w:r>
            </w:hyperlink>
            <w:r>
              <w:rPr>
                <w:rStyle w:val="None"/>
                <w:rFonts w:ascii="Times New Roman" w:hAnsi="Times New Roman"/>
                <w:b/>
                <w:bCs/>
                <w:sz w:val="24"/>
                <w:szCs w:val="24"/>
              </w:rPr>
              <w:t xml:space="preserve"> </w:t>
            </w:r>
          </w:p>
        </w:tc>
      </w:tr>
      <w:tr w:rsidR="004119E1">
        <w:trPr>
          <w:trHeight w:val="305"/>
        </w:trPr>
        <w:tc>
          <w:tcPr>
            <w:tcW w:w="24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4D7B3B" w:rsidP="004D7B3B">
            <w:pPr>
              <w:pStyle w:val="Body"/>
              <w:spacing w:after="0" w:line="480" w:lineRule="auto"/>
              <w:jc w:val="center"/>
            </w:pPr>
            <w:hyperlink r:id="rId17" w:history="1">
              <w:r w:rsidR="00FA0622">
                <w:rPr>
                  <w:rStyle w:val="Hyperlink1"/>
                  <w:rFonts w:ascii="Times New Roman" w:hAnsi="Times New Roman"/>
                  <w:sz w:val="24"/>
                  <w:szCs w:val="24"/>
                </w:rPr>
                <w:t xml:space="preserve">California </w:t>
              </w:r>
            </w:hyperlink>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sz w:val="24"/>
                <w:szCs w:val="24"/>
              </w:rPr>
              <w:t>8,670</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sz w:val="24"/>
                <w:szCs w:val="24"/>
              </w:rPr>
              <w:t>0.52</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sz w:val="24"/>
                <w:szCs w:val="24"/>
              </w:rPr>
              <w:t>1.39</w:t>
            </w: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sz w:val="24"/>
                <w:szCs w:val="24"/>
              </w:rPr>
              <w:t>$26.70</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sz w:val="24"/>
                <w:szCs w:val="24"/>
              </w:rPr>
              <w:t>$55,540</w:t>
            </w:r>
          </w:p>
        </w:tc>
      </w:tr>
      <w:tr w:rsidR="004119E1">
        <w:trPr>
          <w:trHeight w:val="305"/>
        </w:trPr>
        <w:tc>
          <w:tcPr>
            <w:tcW w:w="24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4D7B3B" w:rsidP="004D7B3B">
            <w:pPr>
              <w:pStyle w:val="Body"/>
              <w:spacing w:after="0" w:line="480" w:lineRule="auto"/>
              <w:jc w:val="center"/>
            </w:pPr>
            <w:hyperlink r:id="rId18" w:history="1">
              <w:r w:rsidR="00FA0622">
                <w:rPr>
                  <w:rStyle w:val="Hyperlink1"/>
                  <w:rFonts w:ascii="Times New Roman" w:hAnsi="Times New Roman"/>
                  <w:sz w:val="24"/>
                  <w:szCs w:val="24"/>
                </w:rPr>
                <w:t xml:space="preserve">Texas </w:t>
              </w:r>
            </w:hyperlink>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sz w:val="24"/>
                <w:szCs w:val="24"/>
              </w:rPr>
              <w:t>4,850</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sz w:val="24"/>
                <w:szCs w:val="24"/>
              </w:rPr>
              <w:t>0.41</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sz w:val="24"/>
                <w:szCs w:val="24"/>
              </w:rPr>
              <w:t>1.09</w:t>
            </w: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sz w:val="24"/>
                <w:szCs w:val="24"/>
              </w:rPr>
              <w:t>$24.81</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sz w:val="24"/>
                <w:szCs w:val="24"/>
              </w:rPr>
              <w:t>$51,600</w:t>
            </w:r>
          </w:p>
        </w:tc>
      </w:tr>
      <w:tr w:rsidR="004119E1">
        <w:trPr>
          <w:trHeight w:val="305"/>
        </w:trPr>
        <w:tc>
          <w:tcPr>
            <w:tcW w:w="24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4D7B3B" w:rsidP="004D7B3B">
            <w:pPr>
              <w:pStyle w:val="Body"/>
              <w:spacing w:after="0" w:line="480" w:lineRule="auto"/>
              <w:jc w:val="center"/>
            </w:pPr>
            <w:hyperlink r:id="rId19" w:history="1">
              <w:r w:rsidR="00FA0622">
                <w:rPr>
                  <w:rStyle w:val="Hyperlink1"/>
                  <w:rFonts w:ascii="Times New Roman" w:hAnsi="Times New Roman"/>
                  <w:sz w:val="24"/>
                  <w:szCs w:val="24"/>
                </w:rPr>
                <w:t xml:space="preserve">Florida </w:t>
              </w:r>
            </w:hyperlink>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sz w:val="24"/>
                <w:szCs w:val="24"/>
              </w:rPr>
              <w:t>3,110</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sz w:val="24"/>
                <w:szCs w:val="24"/>
              </w:rPr>
              <w:t>0.37</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sz w:val="24"/>
                <w:szCs w:val="24"/>
              </w:rPr>
              <w:t>0.99</w:t>
            </w: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sz w:val="24"/>
                <w:szCs w:val="24"/>
              </w:rPr>
              <w:t>$20.85</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sz w:val="24"/>
                <w:szCs w:val="24"/>
              </w:rPr>
              <w:t>$43,370</w:t>
            </w:r>
          </w:p>
        </w:tc>
      </w:tr>
      <w:tr w:rsidR="004119E1">
        <w:trPr>
          <w:trHeight w:val="305"/>
        </w:trPr>
        <w:tc>
          <w:tcPr>
            <w:tcW w:w="24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4D7B3B" w:rsidP="004D7B3B">
            <w:pPr>
              <w:pStyle w:val="Body"/>
              <w:spacing w:after="0" w:line="480" w:lineRule="auto"/>
              <w:jc w:val="center"/>
            </w:pPr>
            <w:hyperlink r:id="rId20" w:history="1">
              <w:r w:rsidR="00FA0622">
                <w:rPr>
                  <w:rStyle w:val="Hyperlink1"/>
                  <w:rFonts w:ascii="Times New Roman" w:hAnsi="Times New Roman"/>
                  <w:sz w:val="24"/>
                  <w:szCs w:val="24"/>
                </w:rPr>
                <w:t xml:space="preserve">New York </w:t>
              </w:r>
            </w:hyperlink>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sz w:val="24"/>
                <w:szCs w:val="24"/>
              </w:rPr>
              <w:t>2,700</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sz w:val="24"/>
                <w:szCs w:val="24"/>
              </w:rPr>
              <w:t>0.29</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sz w:val="24"/>
                <w:szCs w:val="24"/>
              </w:rPr>
              <w:t>0.79</w:t>
            </w: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sz w:val="24"/>
                <w:szCs w:val="24"/>
              </w:rPr>
              <w:t>$31.38</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sz w:val="24"/>
                <w:szCs w:val="24"/>
              </w:rPr>
              <w:t>$65,270</w:t>
            </w:r>
          </w:p>
        </w:tc>
      </w:tr>
      <w:tr w:rsidR="004119E1">
        <w:trPr>
          <w:trHeight w:val="305"/>
        </w:trPr>
        <w:tc>
          <w:tcPr>
            <w:tcW w:w="243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4D7B3B" w:rsidP="004D7B3B">
            <w:pPr>
              <w:pStyle w:val="Body"/>
              <w:spacing w:after="0" w:line="480" w:lineRule="auto"/>
              <w:jc w:val="center"/>
            </w:pPr>
            <w:hyperlink r:id="rId21" w:history="1">
              <w:r w:rsidR="00FA0622">
                <w:rPr>
                  <w:rStyle w:val="Hyperlink1"/>
                  <w:rFonts w:ascii="Times New Roman" w:hAnsi="Times New Roman"/>
                  <w:sz w:val="24"/>
                  <w:szCs w:val="24"/>
                </w:rPr>
                <w:t xml:space="preserve">Arizona </w:t>
              </w:r>
            </w:hyperlink>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sz w:val="24"/>
                <w:szCs w:val="24"/>
              </w:rPr>
              <w:t>2,550</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sz w:val="24"/>
                <w:szCs w:val="24"/>
              </w:rPr>
              <w:t>0.94</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sz w:val="24"/>
                <w:szCs w:val="24"/>
              </w:rPr>
              <w:t>2.53</w:t>
            </w: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sz w:val="24"/>
                <w:szCs w:val="24"/>
              </w:rPr>
              <w:t>$19.88</w:t>
            </w:r>
          </w:p>
        </w:tc>
        <w:tc>
          <w:tcPr>
            <w:tcW w:w="13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sz w:val="24"/>
                <w:szCs w:val="24"/>
              </w:rPr>
              <w:t>$41,340</w:t>
            </w:r>
          </w:p>
        </w:tc>
      </w:tr>
    </w:tbl>
    <w:p w:rsidR="00FA0622" w:rsidRDefault="00FA0622" w:rsidP="004D7B3B">
      <w:pPr>
        <w:pStyle w:val="Body"/>
        <w:spacing w:after="120" w:line="480" w:lineRule="auto"/>
        <w:ind w:firstLine="720"/>
      </w:pPr>
    </w:p>
    <w:p w:rsidR="004119E1" w:rsidRDefault="00FA0622" w:rsidP="004D7B3B">
      <w:pPr>
        <w:pStyle w:val="Body"/>
        <w:spacing w:after="120" w:line="480" w:lineRule="auto"/>
        <w:ind w:firstLine="720"/>
      </w:pPr>
      <w:r>
        <w:t xml:space="preserve">As might be expected, Los Angeles, California, BC’s nearest metropolitan area, is ranked number one among ten states as having the highest concentration of employment in the field of interpreting, with numbers closely mirroring national data. </w:t>
      </w:r>
    </w:p>
    <w:tbl>
      <w:tblPr>
        <w:tblW w:w="96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05"/>
        <w:gridCol w:w="1530"/>
        <w:gridCol w:w="1530"/>
        <w:gridCol w:w="1377"/>
        <w:gridCol w:w="1313"/>
        <w:gridCol w:w="1345"/>
      </w:tblGrid>
      <w:tr w:rsidR="004119E1">
        <w:trPr>
          <w:trHeight w:val="1205"/>
        </w:trPr>
        <w:tc>
          <w:tcPr>
            <w:tcW w:w="25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b/>
                <w:bCs/>
                <w:sz w:val="24"/>
                <w:szCs w:val="24"/>
              </w:rPr>
              <w:lastRenderedPageBreak/>
              <w:t xml:space="preserve">Metropolitan area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b/>
                <w:bCs/>
                <w:sz w:val="24"/>
                <w:szCs w:val="24"/>
              </w:rPr>
              <w:t xml:space="preserve">Employment </w:t>
            </w:r>
            <w:hyperlink r:id="rId22" w:anchor="%25281%2529" w:history="1">
              <w:r>
                <w:rPr>
                  <w:rStyle w:val="Hyperlink1"/>
                  <w:rFonts w:ascii="Times New Roman" w:hAnsi="Times New Roman"/>
                  <w:b/>
                  <w:bCs/>
                  <w:sz w:val="24"/>
                  <w:szCs w:val="24"/>
                </w:rPr>
                <w:t>(1)</w:t>
              </w:r>
            </w:hyperlink>
            <w:r>
              <w:rPr>
                <w:rStyle w:val="None"/>
                <w:rFonts w:ascii="Times New Roman" w:hAnsi="Times New Roman"/>
                <w:b/>
                <w:bCs/>
                <w:sz w:val="24"/>
                <w:szCs w:val="24"/>
              </w:rPr>
              <w:t xml:space="preserve">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b/>
                <w:bCs/>
                <w:sz w:val="24"/>
                <w:szCs w:val="24"/>
              </w:rPr>
              <w:t xml:space="preserve">Employment per thousand jobs </w:t>
            </w:r>
          </w:p>
        </w:tc>
        <w:tc>
          <w:tcPr>
            <w:tcW w:w="13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b/>
                <w:bCs/>
                <w:sz w:val="24"/>
                <w:szCs w:val="24"/>
              </w:rPr>
              <w:t xml:space="preserve">Location quotient </w:t>
            </w:r>
            <w:hyperlink r:id="rId23" w:anchor="%25289%2529" w:history="1">
              <w:r>
                <w:rPr>
                  <w:rStyle w:val="Hyperlink1"/>
                  <w:rFonts w:ascii="Times New Roman" w:hAnsi="Times New Roman"/>
                  <w:b/>
                  <w:bCs/>
                  <w:sz w:val="24"/>
                  <w:szCs w:val="24"/>
                </w:rPr>
                <w:t>(9)</w:t>
              </w:r>
            </w:hyperlink>
            <w:r>
              <w:rPr>
                <w:rStyle w:val="None"/>
                <w:rFonts w:ascii="Times New Roman" w:hAnsi="Times New Roman"/>
                <w:b/>
                <w:bCs/>
                <w:sz w:val="24"/>
                <w:szCs w:val="24"/>
              </w:rPr>
              <w:t xml:space="preserve"> </w:t>
            </w:r>
          </w:p>
        </w:tc>
        <w:tc>
          <w:tcPr>
            <w:tcW w:w="131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b/>
                <w:bCs/>
                <w:sz w:val="24"/>
                <w:szCs w:val="24"/>
              </w:rPr>
              <w:t xml:space="preserve">Hourly mean wage </w:t>
            </w:r>
          </w:p>
        </w:tc>
        <w:tc>
          <w:tcPr>
            <w:tcW w:w="13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b/>
                <w:bCs/>
                <w:sz w:val="24"/>
                <w:szCs w:val="24"/>
              </w:rPr>
              <w:t xml:space="preserve">Annual mean wage </w:t>
            </w:r>
            <w:hyperlink r:id="rId24" w:anchor="%25282%2529" w:history="1">
              <w:r>
                <w:rPr>
                  <w:rStyle w:val="Hyperlink1"/>
                  <w:rFonts w:ascii="Times New Roman" w:hAnsi="Times New Roman"/>
                  <w:b/>
                  <w:bCs/>
                  <w:sz w:val="24"/>
                  <w:szCs w:val="24"/>
                </w:rPr>
                <w:t>(2)</w:t>
              </w:r>
            </w:hyperlink>
            <w:r>
              <w:rPr>
                <w:rStyle w:val="None"/>
                <w:rFonts w:ascii="Times New Roman" w:hAnsi="Times New Roman"/>
                <w:b/>
                <w:bCs/>
                <w:sz w:val="24"/>
                <w:szCs w:val="24"/>
              </w:rPr>
              <w:t xml:space="preserve"> </w:t>
            </w:r>
          </w:p>
        </w:tc>
      </w:tr>
      <w:tr w:rsidR="004119E1">
        <w:trPr>
          <w:trHeight w:val="905"/>
        </w:trPr>
        <w:tc>
          <w:tcPr>
            <w:tcW w:w="25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4D7B3B" w:rsidP="004D7B3B">
            <w:pPr>
              <w:pStyle w:val="Body"/>
              <w:spacing w:after="0" w:line="480" w:lineRule="auto"/>
              <w:jc w:val="center"/>
            </w:pPr>
            <w:hyperlink r:id="rId25" w:history="1">
              <w:r w:rsidR="00FA0622">
                <w:rPr>
                  <w:rStyle w:val="Hyperlink1"/>
                  <w:rFonts w:ascii="Times New Roman" w:hAnsi="Times New Roman"/>
                  <w:sz w:val="24"/>
                  <w:szCs w:val="24"/>
                </w:rPr>
                <w:t xml:space="preserve">Los Angeles-Long Beach-Glendale, CA Metropolitan Division </w:t>
              </w:r>
            </w:hyperlink>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sz w:val="24"/>
                <w:szCs w:val="24"/>
              </w:rPr>
              <w:t>2,070</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sz w:val="24"/>
                <w:szCs w:val="24"/>
              </w:rPr>
              <w:t>0.47</w:t>
            </w:r>
          </w:p>
        </w:tc>
        <w:tc>
          <w:tcPr>
            <w:tcW w:w="13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sz w:val="24"/>
                <w:szCs w:val="24"/>
              </w:rPr>
              <w:t>1.25</w:t>
            </w:r>
          </w:p>
        </w:tc>
        <w:tc>
          <w:tcPr>
            <w:tcW w:w="131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sz w:val="24"/>
                <w:szCs w:val="24"/>
              </w:rPr>
              <w:t>$25.93</w:t>
            </w:r>
          </w:p>
        </w:tc>
        <w:tc>
          <w:tcPr>
            <w:tcW w:w="13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sz w:val="24"/>
                <w:szCs w:val="24"/>
              </w:rPr>
              <w:t>$53,940</w:t>
            </w:r>
          </w:p>
        </w:tc>
      </w:tr>
    </w:tbl>
    <w:p w:rsidR="004119E1" w:rsidRDefault="00FA0622" w:rsidP="004D7B3B">
      <w:pPr>
        <w:pStyle w:val="Body"/>
        <w:spacing w:after="120" w:line="480" w:lineRule="auto"/>
        <w:rPr>
          <w:rStyle w:val="None"/>
          <w:sz w:val="24"/>
          <w:szCs w:val="24"/>
        </w:rPr>
      </w:pPr>
      <w:r>
        <w:t xml:space="preserve"> </w:t>
      </w:r>
    </w:p>
    <w:p w:rsidR="004119E1" w:rsidRDefault="00FA0622" w:rsidP="004D7B3B">
      <w:pPr>
        <w:pStyle w:val="Body"/>
        <w:spacing w:after="120" w:line="480" w:lineRule="auto"/>
        <w:ind w:firstLine="720"/>
        <w:rPr>
          <w:rStyle w:val="None"/>
          <w:sz w:val="24"/>
          <w:szCs w:val="24"/>
        </w:rPr>
      </w:pPr>
      <w:r>
        <w:rPr>
          <w:rStyle w:val="None"/>
          <w:sz w:val="24"/>
          <w:szCs w:val="24"/>
        </w:rPr>
        <w:t>Considering nonmetropolitan areas, which more closely align with Kern County, the following data from California’s Northern Coast reveals that mean wages and rate of employment closely align with national averages:</w:t>
      </w:r>
    </w:p>
    <w:tbl>
      <w:tblPr>
        <w:tblW w:w="96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92"/>
        <w:gridCol w:w="1530"/>
        <w:gridCol w:w="1530"/>
        <w:gridCol w:w="1354"/>
        <w:gridCol w:w="1280"/>
        <w:gridCol w:w="1314"/>
      </w:tblGrid>
      <w:tr w:rsidR="004119E1">
        <w:trPr>
          <w:trHeight w:val="1205"/>
        </w:trPr>
        <w:tc>
          <w:tcPr>
            <w:tcW w:w="2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b/>
                <w:bCs/>
                <w:sz w:val="24"/>
                <w:szCs w:val="24"/>
              </w:rPr>
              <w:t xml:space="preserve">Nonmetropolitan area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b/>
                <w:bCs/>
                <w:sz w:val="24"/>
                <w:szCs w:val="24"/>
              </w:rPr>
              <w:t xml:space="preserve">Employment </w:t>
            </w:r>
            <w:hyperlink r:id="rId26" w:anchor="%25281%2529" w:history="1">
              <w:r>
                <w:rPr>
                  <w:rStyle w:val="Hyperlink1"/>
                  <w:rFonts w:ascii="Times New Roman" w:hAnsi="Times New Roman"/>
                  <w:b/>
                  <w:bCs/>
                  <w:sz w:val="24"/>
                  <w:szCs w:val="24"/>
                </w:rPr>
                <w:t>(1)</w:t>
              </w:r>
            </w:hyperlink>
            <w:r>
              <w:rPr>
                <w:rStyle w:val="None"/>
                <w:rFonts w:ascii="Times New Roman" w:hAnsi="Times New Roman"/>
                <w:b/>
                <w:bCs/>
                <w:sz w:val="24"/>
                <w:szCs w:val="24"/>
              </w:rPr>
              <w:t xml:space="preserve">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b/>
                <w:bCs/>
                <w:sz w:val="24"/>
                <w:szCs w:val="24"/>
              </w:rPr>
              <w:t xml:space="preserve">Employment per thousand jobs </w:t>
            </w:r>
          </w:p>
        </w:tc>
        <w:tc>
          <w:tcPr>
            <w:tcW w:w="13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b/>
                <w:bCs/>
                <w:sz w:val="24"/>
                <w:szCs w:val="24"/>
              </w:rPr>
              <w:t xml:space="preserve">Location quotient </w:t>
            </w:r>
            <w:hyperlink r:id="rId27" w:anchor="%25289%2529" w:history="1">
              <w:r>
                <w:rPr>
                  <w:rStyle w:val="Hyperlink1"/>
                  <w:rFonts w:ascii="Times New Roman" w:hAnsi="Times New Roman"/>
                  <w:b/>
                  <w:bCs/>
                  <w:sz w:val="24"/>
                  <w:szCs w:val="24"/>
                </w:rPr>
                <w:t>(9)</w:t>
              </w:r>
            </w:hyperlink>
            <w:r>
              <w:rPr>
                <w:rStyle w:val="None"/>
                <w:rFonts w:ascii="Times New Roman" w:hAnsi="Times New Roman"/>
                <w:b/>
                <w:bCs/>
                <w:sz w:val="24"/>
                <w:szCs w:val="24"/>
              </w:rPr>
              <w:t xml:space="preserve"> </w:t>
            </w:r>
          </w:p>
        </w:tc>
        <w:tc>
          <w:tcPr>
            <w:tcW w:w="12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b/>
                <w:bCs/>
                <w:sz w:val="24"/>
                <w:szCs w:val="24"/>
              </w:rPr>
              <w:t xml:space="preserve">Hourly mean wage </w:t>
            </w:r>
          </w:p>
        </w:tc>
        <w:tc>
          <w:tcPr>
            <w:tcW w:w="13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b/>
                <w:bCs/>
                <w:sz w:val="24"/>
                <w:szCs w:val="24"/>
              </w:rPr>
              <w:t xml:space="preserve">Annual mean wage </w:t>
            </w:r>
            <w:hyperlink r:id="rId28" w:anchor="%25282%2529" w:history="1">
              <w:r>
                <w:rPr>
                  <w:rStyle w:val="Hyperlink1"/>
                  <w:rFonts w:ascii="Times New Roman" w:hAnsi="Times New Roman"/>
                  <w:b/>
                  <w:bCs/>
                  <w:sz w:val="24"/>
                  <w:szCs w:val="24"/>
                </w:rPr>
                <w:t>(2)</w:t>
              </w:r>
            </w:hyperlink>
            <w:r>
              <w:rPr>
                <w:rStyle w:val="None"/>
                <w:rFonts w:ascii="Times New Roman" w:hAnsi="Times New Roman"/>
                <w:b/>
                <w:bCs/>
                <w:sz w:val="24"/>
                <w:szCs w:val="24"/>
              </w:rPr>
              <w:t xml:space="preserve"> </w:t>
            </w:r>
          </w:p>
        </w:tc>
      </w:tr>
      <w:tr w:rsidR="004119E1">
        <w:trPr>
          <w:trHeight w:val="905"/>
        </w:trPr>
        <w:tc>
          <w:tcPr>
            <w:tcW w:w="25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4D7B3B" w:rsidP="004D7B3B">
            <w:pPr>
              <w:pStyle w:val="Body"/>
              <w:spacing w:after="0" w:line="480" w:lineRule="auto"/>
              <w:jc w:val="center"/>
            </w:pPr>
            <w:hyperlink r:id="rId29" w:history="1">
              <w:r w:rsidR="00FA0622">
                <w:rPr>
                  <w:rStyle w:val="Hyperlink1"/>
                  <w:rFonts w:ascii="Times New Roman" w:hAnsi="Times New Roman"/>
                  <w:sz w:val="24"/>
                  <w:szCs w:val="24"/>
                </w:rPr>
                <w:t xml:space="preserve">North Coast Region of California nonmetropolitan area </w:t>
              </w:r>
            </w:hyperlink>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sz w:val="24"/>
                <w:szCs w:val="24"/>
              </w:rPr>
              <w:t>30</w:t>
            </w: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sz w:val="24"/>
                <w:szCs w:val="24"/>
              </w:rPr>
              <w:t>0.33</w:t>
            </w:r>
          </w:p>
        </w:tc>
        <w:tc>
          <w:tcPr>
            <w:tcW w:w="13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sz w:val="24"/>
                <w:szCs w:val="24"/>
              </w:rPr>
              <w:t>0.88</w:t>
            </w:r>
          </w:p>
        </w:tc>
        <w:tc>
          <w:tcPr>
            <w:tcW w:w="128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sz w:val="24"/>
                <w:szCs w:val="24"/>
              </w:rPr>
              <w:t>$28.37</w:t>
            </w:r>
          </w:p>
        </w:tc>
        <w:tc>
          <w:tcPr>
            <w:tcW w:w="131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119E1" w:rsidRDefault="00FA0622" w:rsidP="004D7B3B">
            <w:pPr>
              <w:pStyle w:val="Body"/>
              <w:spacing w:after="0" w:line="480" w:lineRule="auto"/>
              <w:jc w:val="center"/>
            </w:pPr>
            <w:r>
              <w:rPr>
                <w:rStyle w:val="None"/>
                <w:rFonts w:ascii="Times New Roman" w:hAnsi="Times New Roman"/>
                <w:sz w:val="24"/>
                <w:szCs w:val="24"/>
              </w:rPr>
              <w:t>$59,000</w:t>
            </w:r>
          </w:p>
        </w:tc>
      </w:tr>
    </w:tbl>
    <w:p w:rsidR="004119E1" w:rsidRDefault="004119E1" w:rsidP="004D7B3B">
      <w:pPr>
        <w:pStyle w:val="Body"/>
        <w:spacing w:after="120" w:line="480" w:lineRule="auto"/>
        <w:rPr>
          <w:sz w:val="24"/>
          <w:szCs w:val="24"/>
        </w:rPr>
      </w:pPr>
    </w:p>
    <w:p w:rsidR="004119E1" w:rsidRDefault="00FA0622" w:rsidP="004D7B3B">
      <w:pPr>
        <w:pStyle w:val="Body"/>
        <w:spacing w:after="120" w:line="480" w:lineRule="auto"/>
        <w:ind w:firstLine="720"/>
        <w:rPr>
          <w:rStyle w:val="None"/>
          <w:sz w:val="24"/>
          <w:szCs w:val="24"/>
        </w:rPr>
      </w:pPr>
      <w:r>
        <w:rPr>
          <w:rStyle w:val="None"/>
          <w:sz w:val="24"/>
          <w:szCs w:val="24"/>
        </w:rPr>
        <w:t>The demand for an interpreter training program has been evident for many years. With only one other program, a new program, in our local service area, the Bakersfield Interpreter Training Program will provide students with certain employment opportunities locally, state-</w:t>
      </w:r>
      <w:r>
        <w:rPr>
          <w:rStyle w:val="None"/>
          <w:sz w:val="24"/>
          <w:szCs w:val="24"/>
        </w:rPr>
        <w:lastRenderedPageBreak/>
        <w:t>side, and nationally in educational and community interpreting as well as in specialized settings such as theatrical, mental-health, and legal interpreting, among other.</w:t>
      </w:r>
    </w:p>
    <w:p w:rsidR="004119E1" w:rsidRDefault="004119E1" w:rsidP="004D7B3B">
      <w:pPr>
        <w:pStyle w:val="Body"/>
        <w:spacing w:after="120" w:line="480" w:lineRule="auto"/>
        <w:ind w:firstLine="720"/>
        <w:rPr>
          <w:sz w:val="24"/>
          <w:szCs w:val="24"/>
        </w:rPr>
      </w:pPr>
    </w:p>
    <w:p w:rsidR="004119E1" w:rsidRDefault="004119E1" w:rsidP="004D7B3B">
      <w:pPr>
        <w:pStyle w:val="Body"/>
        <w:spacing w:after="120" w:line="480" w:lineRule="auto"/>
        <w:ind w:firstLine="720"/>
        <w:rPr>
          <w:sz w:val="24"/>
          <w:szCs w:val="24"/>
        </w:rPr>
      </w:pPr>
    </w:p>
    <w:p w:rsidR="004119E1" w:rsidRDefault="004119E1" w:rsidP="004D7B3B">
      <w:pPr>
        <w:pStyle w:val="Body"/>
        <w:spacing w:after="120" w:line="480" w:lineRule="auto"/>
      </w:pPr>
    </w:p>
    <w:sectPr w:rsidR="004119E1">
      <w:headerReference w:type="default" r:id="rId30"/>
      <w:footerReference w:type="default" r:id="rId3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3D1" w:rsidRDefault="00FA0622">
      <w:r>
        <w:separator/>
      </w:r>
    </w:p>
  </w:endnote>
  <w:endnote w:type="continuationSeparator" w:id="0">
    <w:p w:rsidR="008A13D1" w:rsidRDefault="00FA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9E1" w:rsidRDefault="00FA0622">
    <w:pPr>
      <w:pStyle w:val="Footer"/>
      <w:tabs>
        <w:tab w:val="clear" w:pos="9360"/>
        <w:tab w:val="right" w:pos="9340"/>
      </w:tabs>
      <w:jc w:val="center"/>
    </w:pPr>
    <w:r>
      <w:rPr>
        <w:sz w:val="20"/>
        <w:szCs w:val="20"/>
      </w:rPr>
      <w:fldChar w:fldCharType="begin"/>
    </w:r>
    <w:r>
      <w:rPr>
        <w:sz w:val="20"/>
        <w:szCs w:val="20"/>
      </w:rPr>
      <w:instrText xml:space="preserve"> PAGE </w:instrText>
    </w:r>
    <w:r>
      <w:rPr>
        <w:sz w:val="20"/>
        <w:szCs w:val="20"/>
      </w:rPr>
      <w:fldChar w:fldCharType="separate"/>
    </w:r>
    <w:r w:rsidR="004D7B3B">
      <w:rPr>
        <w:noProof/>
        <w:sz w:val="20"/>
        <w:szCs w:val="20"/>
      </w:rPr>
      <w:t>3</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3D1" w:rsidRDefault="00FA0622">
      <w:r>
        <w:separator/>
      </w:r>
    </w:p>
  </w:footnote>
  <w:footnote w:type="continuationSeparator" w:id="0">
    <w:p w:rsidR="008A13D1" w:rsidRDefault="00FA0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9E1" w:rsidRDefault="004119E1">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8268E"/>
    <w:multiLevelType w:val="hybridMultilevel"/>
    <w:tmpl w:val="7DD4B102"/>
    <w:styleLink w:val="Bullets"/>
    <w:lvl w:ilvl="0" w:tplc="38F20224">
      <w:start w:val="1"/>
      <w:numFmt w:val="bullet"/>
      <w:lvlText w:val="•"/>
      <w:lvlJc w:val="left"/>
      <w:pPr>
        <w:tabs>
          <w:tab w:val="num" w:pos="894"/>
        </w:tabs>
        <w:ind w:left="174" w:firstLine="546"/>
      </w:pPr>
      <w:rPr>
        <w:rFonts w:hAnsi="Arial Unicode MS"/>
        <w:caps w:val="0"/>
        <w:smallCaps w:val="0"/>
        <w:strike w:val="0"/>
        <w:dstrike w:val="0"/>
        <w:outline w:val="0"/>
        <w:emboss w:val="0"/>
        <w:imprint w:val="0"/>
        <w:spacing w:val="0"/>
        <w:w w:val="100"/>
        <w:kern w:val="0"/>
        <w:position w:val="0"/>
        <w:highlight w:val="none"/>
        <w:vertAlign w:val="baseline"/>
      </w:rPr>
    </w:lvl>
    <w:lvl w:ilvl="1" w:tplc="5632323C">
      <w:start w:val="1"/>
      <w:numFmt w:val="bullet"/>
      <w:lvlText w:val="•"/>
      <w:lvlJc w:val="left"/>
      <w:pPr>
        <w:tabs>
          <w:tab w:val="num" w:pos="1494"/>
        </w:tabs>
        <w:ind w:left="774" w:firstLine="546"/>
      </w:pPr>
      <w:rPr>
        <w:rFonts w:hAnsi="Arial Unicode MS"/>
        <w:caps w:val="0"/>
        <w:smallCaps w:val="0"/>
        <w:strike w:val="0"/>
        <w:dstrike w:val="0"/>
        <w:outline w:val="0"/>
        <w:emboss w:val="0"/>
        <w:imprint w:val="0"/>
        <w:spacing w:val="0"/>
        <w:w w:val="100"/>
        <w:kern w:val="0"/>
        <w:position w:val="0"/>
        <w:highlight w:val="none"/>
        <w:vertAlign w:val="baseline"/>
      </w:rPr>
    </w:lvl>
    <w:lvl w:ilvl="2" w:tplc="747C2E70">
      <w:start w:val="1"/>
      <w:numFmt w:val="bullet"/>
      <w:lvlText w:val="•"/>
      <w:lvlJc w:val="left"/>
      <w:pPr>
        <w:tabs>
          <w:tab w:val="num" w:pos="2094"/>
        </w:tabs>
        <w:ind w:left="1374" w:firstLine="546"/>
      </w:pPr>
      <w:rPr>
        <w:rFonts w:hAnsi="Arial Unicode MS"/>
        <w:caps w:val="0"/>
        <w:smallCaps w:val="0"/>
        <w:strike w:val="0"/>
        <w:dstrike w:val="0"/>
        <w:outline w:val="0"/>
        <w:emboss w:val="0"/>
        <w:imprint w:val="0"/>
        <w:spacing w:val="0"/>
        <w:w w:val="100"/>
        <w:kern w:val="0"/>
        <w:position w:val="0"/>
        <w:highlight w:val="none"/>
        <w:vertAlign w:val="baseline"/>
      </w:rPr>
    </w:lvl>
    <w:lvl w:ilvl="3" w:tplc="F9C240CE">
      <w:start w:val="1"/>
      <w:numFmt w:val="bullet"/>
      <w:lvlText w:val="•"/>
      <w:lvlJc w:val="left"/>
      <w:pPr>
        <w:tabs>
          <w:tab w:val="num" w:pos="2694"/>
        </w:tabs>
        <w:ind w:left="1974" w:firstLine="546"/>
      </w:pPr>
      <w:rPr>
        <w:rFonts w:hAnsi="Arial Unicode MS"/>
        <w:caps w:val="0"/>
        <w:smallCaps w:val="0"/>
        <w:strike w:val="0"/>
        <w:dstrike w:val="0"/>
        <w:outline w:val="0"/>
        <w:emboss w:val="0"/>
        <w:imprint w:val="0"/>
        <w:spacing w:val="0"/>
        <w:w w:val="100"/>
        <w:kern w:val="0"/>
        <w:position w:val="0"/>
        <w:highlight w:val="none"/>
        <w:vertAlign w:val="baseline"/>
      </w:rPr>
    </w:lvl>
    <w:lvl w:ilvl="4" w:tplc="9DC04C56">
      <w:start w:val="1"/>
      <w:numFmt w:val="bullet"/>
      <w:lvlText w:val="•"/>
      <w:lvlJc w:val="left"/>
      <w:pPr>
        <w:tabs>
          <w:tab w:val="num" w:pos="3294"/>
        </w:tabs>
        <w:ind w:left="2574" w:firstLine="546"/>
      </w:pPr>
      <w:rPr>
        <w:rFonts w:hAnsi="Arial Unicode MS"/>
        <w:caps w:val="0"/>
        <w:smallCaps w:val="0"/>
        <w:strike w:val="0"/>
        <w:dstrike w:val="0"/>
        <w:outline w:val="0"/>
        <w:emboss w:val="0"/>
        <w:imprint w:val="0"/>
        <w:spacing w:val="0"/>
        <w:w w:val="100"/>
        <w:kern w:val="0"/>
        <w:position w:val="0"/>
        <w:highlight w:val="none"/>
        <w:vertAlign w:val="baseline"/>
      </w:rPr>
    </w:lvl>
    <w:lvl w:ilvl="5" w:tplc="ED3809A8">
      <w:start w:val="1"/>
      <w:numFmt w:val="bullet"/>
      <w:lvlText w:val="•"/>
      <w:lvlJc w:val="left"/>
      <w:pPr>
        <w:tabs>
          <w:tab w:val="num" w:pos="3894"/>
        </w:tabs>
        <w:ind w:left="3174" w:firstLine="546"/>
      </w:pPr>
      <w:rPr>
        <w:rFonts w:hAnsi="Arial Unicode MS"/>
        <w:caps w:val="0"/>
        <w:smallCaps w:val="0"/>
        <w:strike w:val="0"/>
        <w:dstrike w:val="0"/>
        <w:outline w:val="0"/>
        <w:emboss w:val="0"/>
        <w:imprint w:val="0"/>
        <w:spacing w:val="0"/>
        <w:w w:val="100"/>
        <w:kern w:val="0"/>
        <w:position w:val="0"/>
        <w:highlight w:val="none"/>
        <w:vertAlign w:val="baseline"/>
      </w:rPr>
    </w:lvl>
    <w:lvl w:ilvl="6" w:tplc="B02E79EE">
      <w:start w:val="1"/>
      <w:numFmt w:val="bullet"/>
      <w:lvlText w:val="•"/>
      <w:lvlJc w:val="left"/>
      <w:pPr>
        <w:tabs>
          <w:tab w:val="num" w:pos="4494"/>
        </w:tabs>
        <w:ind w:left="3774" w:firstLine="546"/>
      </w:pPr>
      <w:rPr>
        <w:rFonts w:hAnsi="Arial Unicode MS"/>
        <w:caps w:val="0"/>
        <w:smallCaps w:val="0"/>
        <w:strike w:val="0"/>
        <w:dstrike w:val="0"/>
        <w:outline w:val="0"/>
        <w:emboss w:val="0"/>
        <w:imprint w:val="0"/>
        <w:spacing w:val="0"/>
        <w:w w:val="100"/>
        <w:kern w:val="0"/>
        <w:position w:val="0"/>
        <w:highlight w:val="none"/>
        <w:vertAlign w:val="baseline"/>
      </w:rPr>
    </w:lvl>
    <w:lvl w:ilvl="7" w:tplc="15DAA59A">
      <w:start w:val="1"/>
      <w:numFmt w:val="bullet"/>
      <w:lvlText w:val="•"/>
      <w:lvlJc w:val="left"/>
      <w:pPr>
        <w:tabs>
          <w:tab w:val="num" w:pos="5094"/>
        </w:tabs>
        <w:ind w:left="4374" w:firstLine="546"/>
      </w:pPr>
      <w:rPr>
        <w:rFonts w:hAnsi="Arial Unicode MS"/>
        <w:caps w:val="0"/>
        <w:smallCaps w:val="0"/>
        <w:strike w:val="0"/>
        <w:dstrike w:val="0"/>
        <w:outline w:val="0"/>
        <w:emboss w:val="0"/>
        <w:imprint w:val="0"/>
        <w:spacing w:val="0"/>
        <w:w w:val="100"/>
        <w:kern w:val="0"/>
        <w:position w:val="0"/>
        <w:highlight w:val="none"/>
        <w:vertAlign w:val="baseline"/>
      </w:rPr>
    </w:lvl>
    <w:lvl w:ilvl="8" w:tplc="7C7E8336">
      <w:start w:val="1"/>
      <w:numFmt w:val="bullet"/>
      <w:lvlText w:val="•"/>
      <w:lvlJc w:val="left"/>
      <w:pPr>
        <w:tabs>
          <w:tab w:val="num" w:pos="5694"/>
        </w:tabs>
        <w:ind w:left="4974" w:firstLine="5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3A4F154B"/>
    <w:multiLevelType w:val="hybridMultilevel"/>
    <w:tmpl w:val="7DD4B102"/>
    <w:numStyleLink w:val="Bullets"/>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119E1"/>
    <w:rsid w:val="004119E1"/>
    <w:rsid w:val="004D7B3B"/>
    <w:rsid w:val="008A13D1"/>
    <w:rsid w:val="00FA0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Bullets">
    <w:name w:val="Bullets"/>
    <w:pPr>
      <w:numPr>
        <w:numId w:val="1"/>
      </w:numPr>
    </w:pPr>
  </w:style>
  <w:style w:type="character" w:customStyle="1" w:styleId="Hyperlink0">
    <w:name w:val="Hyperlink.0"/>
    <w:basedOn w:val="Hyperlink"/>
    <w:rPr>
      <w:color w:val="0000FF"/>
      <w:u w:val="single" w:color="0000FF"/>
    </w:rPr>
  </w:style>
  <w:style w:type="character" w:customStyle="1" w:styleId="None">
    <w:name w:val="None"/>
  </w:style>
  <w:style w:type="character" w:customStyle="1" w:styleId="Hyperlink1">
    <w:name w:val="Hyperlink.1"/>
    <w:basedOn w:val="None"/>
    <w:rPr>
      <w:color w:val="0000FF"/>
      <w:u w:val="single" w:color="0000F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Bullets">
    <w:name w:val="Bullets"/>
    <w:pPr>
      <w:numPr>
        <w:numId w:val="1"/>
      </w:numPr>
    </w:pPr>
  </w:style>
  <w:style w:type="character" w:customStyle="1" w:styleId="Hyperlink0">
    <w:name w:val="Hyperlink.0"/>
    <w:basedOn w:val="Hyperlink"/>
    <w:rPr>
      <w:color w:val="0000FF"/>
      <w:u w:val="single" w:color="0000FF"/>
    </w:rPr>
  </w:style>
  <w:style w:type="character" w:customStyle="1" w:styleId="None">
    <w:name w:val="None"/>
  </w:style>
  <w:style w:type="character" w:customStyle="1" w:styleId="Hyperlink1">
    <w:name w:val="Hyperlink.1"/>
    <w:basedOn w:val="None"/>
    <w:rPr>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oeccc.net/Search.aspx" TargetMode="External"/><Relationship Id="rId13" Type="http://schemas.openxmlformats.org/officeDocument/2006/relationships/hyperlink" Target="https://www.bls.gov/oes/current/oes273091.htm" TargetMode="External"/><Relationship Id="rId18" Type="http://schemas.openxmlformats.org/officeDocument/2006/relationships/hyperlink" Target="https://www.bls.gov/oes/current/oes_tx.htm" TargetMode="External"/><Relationship Id="rId26" Type="http://schemas.openxmlformats.org/officeDocument/2006/relationships/hyperlink" Target="https://www.bls.gov/oes/current/oes273091.htm" TargetMode="External"/><Relationship Id="rId3" Type="http://schemas.microsoft.com/office/2007/relationships/stylesWithEffects" Target="stylesWithEffects.xml"/><Relationship Id="rId21" Type="http://schemas.openxmlformats.org/officeDocument/2006/relationships/hyperlink" Target="https://www.bls.gov/oes/current/oes_az.htm" TargetMode="External"/><Relationship Id="rId7" Type="http://schemas.openxmlformats.org/officeDocument/2006/relationships/endnotes" Target="endnotes.xml"/><Relationship Id="rId12" Type="http://schemas.openxmlformats.org/officeDocument/2006/relationships/hyperlink" Target="https://www.bls.gov/oes/current/oes273091.htm" TargetMode="External"/><Relationship Id="rId17" Type="http://schemas.openxmlformats.org/officeDocument/2006/relationships/hyperlink" Target="https://www.bls.gov/oes/current/oes_ca.htm" TargetMode="External"/><Relationship Id="rId25" Type="http://schemas.openxmlformats.org/officeDocument/2006/relationships/hyperlink" Target="https://www.bls.gov/oes/current/oes_31084.ht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ls.gov/oes/current/oes273091.htm" TargetMode="External"/><Relationship Id="rId20" Type="http://schemas.openxmlformats.org/officeDocument/2006/relationships/hyperlink" Target="https://www.bls.gov/oes/current/oes_ny.htm" TargetMode="External"/><Relationship Id="rId29" Type="http://schemas.openxmlformats.org/officeDocument/2006/relationships/hyperlink" Target="https://www.bls.gov/oes/current/oes_0600003.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ls.gov/oes/current/oes273091.htm" TargetMode="External"/><Relationship Id="rId24" Type="http://schemas.openxmlformats.org/officeDocument/2006/relationships/hyperlink" Target="https://www.bls.gov/oes/current/oes273091.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ls.gov/oes/current/oes273091.htm" TargetMode="External"/><Relationship Id="rId23" Type="http://schemas.openxmlformats.org/officeDocument/2006/relationships/hyperlink" Target="https://www.bls.gov/oes/current/oes273091.htm" TargetMode="External"/><Relationship Id="rId28" Type="http://schemas.openxmlformats.org/officeDocument/2006/relationships/hyperlink" Target="https://www.bls.gov/oes/current/oes273091.htm" TargetMode="External"/><Relationship Id="rId10" Type="http://schemas.openxmlformats.org/officeDocument/2006/relationships/hyperlink" Target="https://www.bls.gov/oes/current/oes273091.htm" TargetMode="External"/><Relationship Id="rId19" Type="http://schemas.openxmlformats.org/officeDocument/2006/relationships/hyperlink" Target="https://www.bls.gov/oes/current/oes_fl.ht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ls.gov/oes/current/oes273091.htm" TargetMode="External"/><Relationship Id="rId14" Type="http://schemas.openxmlformats.org/officeDocument/2006/relationships/hyperlink" Target="https://www.bls.gov/oes/current/oes273091.htm" TargetMode="External"/><Relationship Id="rId22" Type="http://schemas.openxmlformats.org/officeDocument/2006/relationships/hyperlink" Target="https://www.bls.gov/oes/current/oes273091.htm" TargetMode="External"/><Relationship Id="rId27" Type="http://schemas.openxmlformats.org/officeDocument/2006/relationships/hyperlink" Target="https://www.bls.gov/oes/current/oes273091.htm"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Moran</dc:creator>
  <cp:lastModifiedBy>Thomas Moran</cp:lastModifiedBy>
  <cp:revision>2</cp:revision>
  <dcterms:created xsi:type="dcterms:W3CDTF">2018-04-05T02:12:00Z</dcterms:created>
  <dcterms:modified xsi:type="dcterms:W3CDTF">2018-04-05T02:12:00Z</dcterms:modified>
</cp:coreProperties>
</file>